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B6" w:rsidRPr="00BE33B6" w:rsidRDefault="00AE3E41" w:rsidP="00BE33B6">
      <w:pPr>
        <w:shd w:val="clear" w:color="auto" w:fill="FFFFFF"/>
        <w:spacing w:before="300" w:after="30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b/>
          <w:bCs/>
          <w:color w:val="2A2A2A"/>
          <w:sz w:val="28"/>
          <w:szCs w:val="28"/>
        </w:rPr>
        <w:t>Common</w:t>
      </w:r>
      <w:r w:rsidR="00BE33B6" w:rsidRPr="00BE33B6">
        <w:rPr>
          <w:rFonts w:ascii="Times New Roman" w:eastAsia="Times New Roman" w:hAnsi="Times New Roman" w:cs="Times New Roman"/>
          <w:b/>
          <w:bCs/>
          <w:color w:val="2A2A2A"/>
          <w:sz w:val="28"/>
          <w:szCs w:val="28"/>
        </w:rPr>
        <w:t xml:space="preserve"> Reactions to </w:t>
      </w:r>
      <w:r w:rsidR="00221407">
        <w:rPr>
          <w:rFonts w:ascii="Times New Roman" w:eastAsia="Times New Roman" w:hAnsi="Times New Roman" w:cs="Times New Roman"/>
          <w:b/>
          <w:bCs/>
          <w:color w:val="2A2A2A"/>
          <w:sz w:val="28"/>
          <w:szCs w:val="28"/>
        </w:rPr>
        <w:t xml:space="preserve">the Repeal </w:t>
      </w:r>
      <w:r>
        <w:rPr>
          <w:rFonts w:ascii="Times New Roman" w:eastAsia="Times New Roman" w:hAnsi="Times New Roman" w:cs="Times New Roman"/>
          <w:b/>
          <w:bCs/>
          <w:color w:val="2A2A2A"/>
          <w:sz w:val="28"/>
          <w:szCs w:val="28"/>
        </w:rPr>
        <w:t xml:space="preserve">of </w:t>
      </w:r>
      <w:r w:rsidR="00221407">
        <w:rPr>
          <w:rFonts w:ascii="Times New Roman" w:eastAsia="Times New Roman" w:hAnsi="Times New Roman" w:cs="Times New Roman"/>
          <w:b/>
          <w:bCs/>
          <w:color w:val="2A2A2A"/>
          <w:sz w:val="28"/>
          <w:szCs w:val="28"/>
        </w:rPr>
        <w:t>DACA</w:t>
      </w:r>
    </w:p>
    <w:p w:rsidR="00BE33B6" w:rsidRDefault="00221407" w:rsidP="00AC3424">
      <w:pPr>
        <w:shd w:val="clear" w:color="auto" w:fill="FFFFFF"/>
        <w:spacing w:line="240" w:lineRule="auto"/>
        <w:rPr>
          <w:rFonts w:ascii="Arial" w:eastAsia="Times New Roman" w:hAnsi="Arial" w:cs="Arial"/>
          <w:color w:val="2A2A2A"/>
          <w:sz w:val="24"/>
          <w:szCs w:val="24"/>
        </w:rPr>
      </w:pPr>
      <w:r>
        <w:rPr>
          <w:rFonts w:ascii="Arial" w:eastAsia="Times New Roman" w:hAnsi="Arial" w:cs="Arial"/>
          <w:color w:val="2A2A2A"/>
        </w:rPr>
        <w:t xml:space="preserve">In light of the </w:t>
      </w:r>
      <w:r w:rsidR="00BE33B6" w:rsidRPr="00BE33B6">
        <w:rPr>
          <w:rFonts w:ascii="Arial" w:eastAsia="Times New Roman" w:hAnsi="Arial" w:cs="Arial"/>
          <w:color w:val="2A2A2A"/>
        </w:rPr>
        <w:t>administration’s repeal of DACA</w:t>
      </w:r>
      <w:r>
        <w:rPr>
          <w:rFonts w:ascii="Arial" w:eastAsia="Times New Roman" w:hAnsi="Arial" w:cs="Arial"/>
          <w:color w:val="2A2A2A"/>
        </w:rPr>
        <w:t>,</w:t>
      </w:r>
      <w:r w:rsidR="00BE33B6" w:rsidRPr="00BE33B6">
        <w:rPr>
          <w:rFonts w:ascii="Arial" w:eastAsia="Times New Roman" w:hAnsi="Arial" w:cs="Arial"/>
          <w:color w:val="2A2A2A"/>
        </w:rPr>
        <w:t xml:space="preserve"> many students are experiencing fears about deportation not only for themselves but also for their loved ones and other m</w:t>
      </w:r>
      <w:r>
        <w:rPr>
          <w:rFonts w:ascii="Arial" w:eastAsia="Times New Roman" w:hAnsi="Arial" w:cs="Arial"/>
          <w:color w:val="2A2A2A"/>
        </w:rPr>
        <w:t>embers of their community. M</w:t>
      </w:r>
      <w:r w:rsidR="00BE33B6" w:rsidRPr="00BE33B6">
        <w:rPr>
          <w:rFonts w:ascii="Arial" w:eastAsia="Times New Roman" w:hAnsi="Arial" w:cs="Arial"/>
          <w:color w:val="2A2A2A"/>
        </w:rPr>
        <w:t>any of these concerns are not new to undocumented students. In fact, they have lived with threats of deportation, racial discrimination and harassment, and other conflict because of their identity for some time and have learned how to survive and thrive despite these injustices.</w:t>
      </w:r>
      <w:r w:rsidR="00BE33B6" w:rsidRPr="00BE33B6">
        <w:rPr>
          <w:rFonts w:ascii="Arial" w:eastAsia="Times New Roman" w:hAnsi="Arial" w:cs="Arial"/>
          <w:color w:val="2A2A2A"/>
          <w:sz w:val="24"/>
          <w:szCs w:val="24"/>
        </w:rPr>
        <w:t> </w:t>
      </w:r>
      <w:r w:rsidR="00BE33B6" w:rsidRPr="00BE33B6">
        <w:rPr>
          <w:rFonts w:ascii="Arial" w:eastAsia="Times New Roman" w:hAnsi="Arial" w:cs="Arial"/>
          <w:color w:val="2A2A2A"/>
          <w:sz w:val="24"/>
          <w:szCs w:val="24"/>
        </w:rPr>
        <w:br/>
      </w:r>
      <w:r w:rsidR="00BE33B6" w:rsidRPr="00BE33B6">
        <w:rPr>
          <w:rFonts w:ascii="Arial" w:eastAsia="Times New Roman" w:hAnsi="Arial" w:cs="Arial"/>
          <w:color w:val="2A2A2A"/>
          <w:sz w:val="24"/>
          <w:szCs w:val="24"/>
        </w:rPr>
        <w:br/>
      </w:r>
      <w:r w:rsidR="00BE33B6" w:rsidRPr="00BE33B6">
        <w:rPr>
          <w:rFonts w:ascii="Arial" w:eastAsia="Times New Roman" w:hAnsi="Arial" w:cs="Arial"/>
          <w:color w:val="2A2A2A"/>
        </w:rPr>
        <w:t>To survive and thrive amidst these pressures, students need to be able to recognize the common signs and signals of distress, pay attention to these signals, and actively employ strategies to reduce their distress. Further</w:t>
      </w:r>
      <w:r w:rsidR="00F52BBC">
        <w:rPr>
          <w:rFonts w:ascii="Arial" w:eastAsia="Times New Roman" w:hAnsi="Arial" w:cs="Arial"/>
          <w:color w:val="2A2A2A"/>
        </w:rPr>
        <w:t>more</w:t>
      </w:r>
      <w:r w:rsidR="00BE33B6" w:rsidRPr="00BE33B6">
        <w:rPr>
          <w:rFonts w:ascii="Arial" w:eastAsia="Times New Roman" w:hAnsi="Arial" w:cs="Arial"/>
          <w:color w:val="2A2A2A"/>
        </w:rPr>
        <w:t>, making regular time for self-care and reaching out to support and care for one another will build a strong foundation of resilience.</w:t>
      </w:r>
    </w:p>
    <w:p w:rsidR="00BE33B6" w:rsidRPr="00146326" w:rsidRDefault="00BE33B6" w:rsidP="00BE33B6">
      <w:pPr>
        <w:shd w:val="clear" w:color="auto" w:fill="FFFFFF"/>
        <w:spacing w:line="240" w:lineRule="auto"/>
        <w:rPr>
          <w:rFonts w:ascii="Arial" w:eastAsia="Times New Roman" w:hAnsi="Arial" w:cs="Arial"/>
          <w:color w:val="2A2A2A"/>
          <w:sz w:val="20"/>
          <w:szCs w:val="20"/>
        </w:rPr>
      </w:pPr>
    </w:p>
    <w:tbl>
      <w:tblPr>
        <w:tblStyle w:val="TableGrid"/>
        <w:tblW w:w="10839" w:type="dxa"/>
        <w:tblLook w:val="04A0" w:firstRow="1" w:lastRow="0" w:firstColumn="1" w:lastColumn="0" w:noHBand="0" w:noVBand="1"/>
      </w:tblPr>
      <w:tblGrid>
        <w:gridCol w:w="5395"/>
        <w:gridCol w:w="5444"/>
      </w:tblGrid>
      <w:tr w:rsidR="00BE33B6" w:rsidTr="002F1210">
        <w:trPr>
          <w:trHeight w:val="4588"/>
        </w:trPr>
        <w:tc>
          <w:tcPr>
            <w:tcW w:w="5395" w:type="dxa"/>
          </w:tcPr>
          <w:p w:rsidR="00BE33B6" w:rsidRDefault="00BE33B6" w:rsidP="00BE33B6">
            <w:pPr>
              <w:jc w:val="center"/>
              <w:rPr>
                <w:rFonts w:ascii="Arial" w:eastAsia="Times New Roman" w:hAnsi="Arial" w:cs="Arial"/>
                <w:i/>
                <w:sz w:val="24"/>
                <w:szCs w:val="24"/>
                <w:u w:val="single"/>
              </w:rPr>
            </w:pPr>
            <w:r>
              <w:rPr>
                <w:rFonts w:ascii="Arial" w:eastAsia="Times New Roman" w:hAnsi="Arial" w:cs="Arial"/>
                <w:i/>
                <w:sz w:val="24"/>
                <w:szCs w:val="24"/>
                <w:u w:val="single"/>
              </w:rPr>
              <w:t>Common symptoms of distress</w:t>
            </w:r>
          </w:p>
          <w:p w:rsidR="00BE33B6" w:rsidRDefault="00BE33B6" w:rsidP="00BE33B6">
            <w:pPr>
              <w:jc w:val="center"/>
              <w:rPr>
                <w:rFonts w:ascii="Arial" w:eastAsia="Times New Roman" w:hAnsi="Arial" w:cs="Arial"/>
                <w:i/>
                <w:sz w:val="24"/>
                <w:szCs w:val="24"/>
                <w:u w:val="single"/>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Anxiety/fear</w:t>
            </w:r>
          </w:p>
          <w:p w:rsidR="00BE33B6" w:rsidRPr="00BE33B6" w:rsidRDefault="00BE33B6" w:rsidP="00BE33B6">
            <w:pPr>
              <w:pStyle w:val="ListParagraph"/>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Irritability/anger</w:t>
            </w:r>
          </w:p>
          <w:p w:rsidR="00BE33B6" w:rsidRPr="00BE33B6" w:rsidRDefault="00BE33B6" w:rsidP="00BE33B6">
            <w:pPr>
              <w:pStyle w:val="ListParagraph"/>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Depression</w:t>
            </w:r>
          </w:p>
          <w:p w:rsidR="00BE33B6" w:rsidRPr="00BE33B6" w:rsidRDefault="00BE33B6" w:rsidP="00BE33B6">
            <w:pPr>
              <w:pStyle w:val="ListParagraph"/>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Social withdrawal</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Physical symptoms (nausea, racing heart, headaches, etc.)</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Trouble focusing</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Loss of motivation</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Sleep difficulties</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Feeling unsafe</w:t>
            </w:r>
          </w:p>
          <w:p w:rsidR="00BE33B6" w:rsidRPr="00BE33B6" w:rsidRDefault="00BE33B6" w:rsidP="00BE33B6">
            <w:pPr>
              <w:rPr>
                <w:rFonts w:ascii="Arial" w:eastAsia="Times New Roman" w:hAnsi="Arial" w:cs="Arial"/>
                <w:sz w:val="12"/>
                <w:szCs w:val="12"/>
              </w:rPr>
            </w:pPr>
          </w:p>
        </w:tc>
        <w:tc>
          <w:tcPr>
            <w:tcW w:w="5444" w:type="dxa"/>
          </w:tcPr>
          <w:p w:rsidR="00BE33B6" w:rsidRDefault="00BE33B6" w:rsidP="00BE33B6">
            <w:pPr>
              <w:jc w:val="center"/>
              <w:rPr>
                <w:rFonts w:ascii="Arial" w:eastAsia="Times New Roman" w:hAnsi="Arial" w:cs="Arial"/>
                <w:i/>
                <w:sz w:val="24"/>
                <w:szCs w:val="24"/>
                <w:u w:val="single"/>
              </w:rPr>
            </w:pPr>
            <w:r>
              <w:rPr>
                <w:rFonts w:ascii="Arial" w:eastAsia="Times New Roman" w:hAnsi="Arial" w:cs="Arial"/>
                <w:i/>
                <w:sz w:val="24"/>
                <w:szCs w:val="24"/>
                <w:u w:val="single"/>
              </w:rPr>
              <w:t>Signs that you are more than stressed</w:t>
            </w:r>
          </w:p>
          <w:p w:rsidR="00BE33B6" w:rsidRDefault="00BE33B6" w:rsidP="00BE33B6">
            <w:pPr>
              <w:rPr>
                <w:rFonts w:ascii="Arial" w:eastAsia="Times New Roman" w:hAnsi="Arial" w:cs="Arial"/>
                <w:i/>
                <w:sz w:val="24"/>
                <w:szCs w:val="24"/>
                <w:u w:val="single"/>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Repeated vivid memories, flashbacks</w:t>
            </w:r>
          </w:p>
          <w:p w:rsidR="00BE33B6" w:rsidRPr="00BE33B6" w:rsidRDefault="00BE33B6" w:rsidP="00BE33B6">
            <w:pPr>
              <w:pStyle w:val="ListParagraph"/>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Nightmares</w:t>
            </w:r>
          </w:p>
          <w:p w:rsidR="00BE33B6" w:rsidRPr="00BE33B6" w:rsidRDefault="00BE33B6" w:rsidP="00BE33B6">
            <w:pPr>
              <w:pStyle w:val="ListParagraph"/>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Intense fear that doesn’t stop</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Easily startled</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Tense/on edge most of the time</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Shock, numbness</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Guilt</w:t>
            </w:r>
          </w:p>
          <w:p w:rsidR="00BE33B6" w:rsidRPr="00BE33B6" w:rsidRDefault="00BE33B6" w:rsidP="00BE33B6">
            <w:pPr>
              <w:rPr>
                <w:rFonts w:ascii="Arial" w:eastAsia="Times New Roman" w:hAnsi="Arial" w:cs="Arial"/>
                <w:sz w:val="12"/>
                <w:szCs w:val="12"/>
              </w:rPr>
            </w:pPr>
          </w:p>
          <w:p w:rsid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Avoidance</w:t>
            </w:r>
          </w:p>
          <w:p w:rsidR="00BE33B6" w:rsidRPr="00BE33B6" w:rsidRDefault="00BE33B6" w:rsidP="00BE33B6">
            <w:pPr>
              <w:rPr>
                <w:rFonts w:ascii="Arial" w:eastAsia="Times New Roman" w:hAnsi="Arial" w:cs="Arial"/>
                <w:sz w:val="12"/>
                <w:szCs w:val="12"/>
              </w:rPr>
            </w:pPr>
          </w:p>
          <w:p w:rsidR="00BE33B6" w:rsidRPr="00BE33B6" w:rsidRDefault="00BE33B6" w:rsidP="00BE33B6">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Dissociation (sensation of “not being there”)</w:t>
            </w:r>
          </w:p>
        </w:tc>
      </w:tr>
    </w:tbl>
    <w:p w:rsidR="00BE33B6" w:rsidRPr="00146326" w:rsidRDefault="00BE33B6" w:rsidP="00BE33B6">
      <w:pPr>
        <w:shd w:val="clear" w:color="auto" w:fill="FFFFFF"/>
        <w:spacing w:line="240" w:lineRule="auto"/>
        <w:rPr>
          <w:rFonts w:ascii="Arial" w:eastAsia="Times New Roman" w:hAnsi="Arial" w:cs="Arial"/>
          <w:sz w:val="20"/>
          <w:szCs w:val="20"/>
        </w:rPr>
      </w:pPr>
    </w:p>
    <w:p w:rsidR="00146326" w:rsidRDefault="00146326" w:rsidP="00146326">
      <w:pPr>
        <w:rPr>
          <w:rFonts w:ascii="Arial" w:eastAsia="Times New Roman" w:hAnsi="Arial" w:cs="Arial"/>
          <w:sz w:val="14"/>
          <w:szCs w:val="14"/>
        </w:rPr>
      </w:pPr>
    </w:p>
    <w:p w:rsidR="00B43ABF" w:rsidRDefault="00146326" w:rsidP="00146326">
      <w:pPr>
        <w:rPr>
          <w:b/>
          <w:sz w:val="26"/>
          <w:szCs w:val="26"/>
        </w:rPr>
      </w:pPr>
      <w:r>
        <w:rPr>
          <w:b/>
          <w:sz w:val="26"/>
          <w:szCs w:val="26"/>
        </w:rPr>
        <w:t xml:space="preserve">                     Mental H</w:t>
      </w:r>
      <w:r w:rsidR="00F52BBC">
        <w:rPr>
          <w:b/>
          <w:sz w:val="26"/>
          <w:szCs w:val="26"/>
        </w:rPr>
        <w:t>ealth</w:t>
      </w:r>
      <w:r w:rsidR="00A23E56">
        <w:rPr>
          <w:b/>
          <w:sz w:val="26"/>
          <w:szCs w:val="26"/>
        </w:rPr>
        <w:t xml:space="preserve"> </w:t>
      </w:r>
      <w:r>
        <w:rPr>
          <w:b/>
          <w:sz w:val="26"/>
          <w:szCs w:val="26"/>
        </w:rPr>
        <w:t>Resources</w:t>
      </w:r>
      <w:r>
        <w:rPr>
          <w:b/>
          <w:sz w:val="26"/>
          <w:szCs w:val="26"/>
        </w:rPr>
        <w:tab/>
      </w:r>
      <w:r>
        <w:rPr>
          <w:b/>
          <w:sz w:val="26"/>
          <w:szCs w:val="26"/>
        </w:rPr>
        <w:tab/>
      </w:r>
      <w:r>
        <w:rPr>
          <w:b/>
          <w:sz w:val="26"/>
          <w:szCs w:val="26"/>
        </w:rPr>
        <w:tab/>
      </w:r>
      <w:r>
        <w:rPr>
          <w:b/>
          <w:sz w:val="26"/>
          <w:szCs w:val="26"/>
        </w:rPr>
        <w:tab/>
      </w:r>
      <w:r w:rsidR="00CA6371">
        <w:rPr>
          <w:b/>
          <w:sz w:val="26"/>
          <w:szCs w:val="26"/>
        </w:rPr>
        <w:t xml:space="preserve">   </w:t>
      </w:r>
      <w:r>
        <w:rPr>
          <w:b/>
          <w:sz w:val="26"/>
          <w:szCs w:val="26"/>
        </w:rPr>
        <w:t>Other Support Resources</w:t>
      </w:r>
    </w:p>
    <w:tbl>
      <w:tblPr>
        <w:tblStyle w:val="TableGrid"/>
        <w:tblW w:w="0" w:type="auto"/>
        <w:tblLook w:val="04A0" w:firstRow="1" w:lastRow="0" w:firstColumn="1" w:lastColumn="0" w:noHBand="0" w:noVBand="1"/>
      </w:tblPr>
      <w:tblGrid>
        <w:gridCol w:w="5395"/>
        <w:gridCol w:w="5395"/>
      </w:tblGrid>
      <w:tr w:rsidR="00146326" w:rsidTr="00146326">
        <w:tc>
          <w:tcPr>
            <w:tcW w:w="5395" w:type="dxa"/>
          </w:tcPr>
          <w:p w:rsidR="00146326" w:rsidRPr="00B43ABF" w:rsidRDefault="00146326" w:rsidP="00146326">
            <w:pPr>
              <w:jc w:val="center"/>
              <w:rPr>
                <w:b/>
                <w:sz w:val="26"/>
                <w:szCs w:val="26"/>
              </w:rPr>
            </w:pPr>
            <w:r w:rsidRPr="00B43ABF">
              <w:rPr>
                <w:b/>
                <w:sz w:val="26"/>
                <w:szCs w:val="26"/>
              </w:rPr>
              <w:t>UNC Charlotte Counseling and Psychological Services (CAPS)</w:t>
            </w:r>
          </w:p>
          <w:p w:rsidR="00146326" w:rsidRDefault="00146326" w:rsidP="00146326">
            <w:pPr>
              <w:jc w:val="center"/>
              <w:rPr>
                <w:b/>
                <w:sz w:val="26"/>
                <w:szCs w:val="26"/>
              </w:rPr>
            </w:pPr>
            <w:r w:rsidRPr="00A23E56">
              <w:rPr>
                <w:sz w:val="26"/>
                <w:szCs w:val="26"/>
              </w:rPr>
              <w:t>704-687-0311    caps.uncc.edu</w:t>
            </w:r>
          </w:p>
        </w:tc>
        <w:tc>
          <w:tcPr>
            <w:tcW w:w="5395" w:type="dxa"/>
          </w:tcPr>
          <w:p w:rsidR="00D00997" w:rsidRDefault="00A05AD2" w:rsidP="00D00997">
            <w:pPr>
              <w:jc w:val="center"/>
              <w:rPr>
                <w:b/>
                <w:sz w:val="26"/>
                <w:szCs w:val="26"/>
              </w:rPr>
            </w:pPr>
            <w:r w:rsidRPr="00A05AD2">
              <w:rPr>
                <w:b/>
                <w:sz w:val="26"/>
                <w:szCs w:val="26"/>
              </w:rPr>
              <w:t>UNC Charlotte Dean of Students Office</w:t>
            </w:r>
          </w:p>
          <w:p w:rsidR="00A05AD2" w:rsidRDefault="00A05AD2" w:rsidP="00D00997">
            <w:pPr>
              <w:jc w:val="center"/>
              <w:rPr>
                <w:sz w:val="26"/>
                <w:szCs w:val="26"/>
              </w:rPr>
            </w:pPr>
            <w:r>
              <w:rPr>
                <w:sz w:val="26"/>
                <w:szCs w:val="26"/>
              </w:rPr>
              <w:t>704-687-0345</w:t>
            </w:r>
          </w:p>
          <w:p w:rsidR="00A05AD2" w:rsidRPr="00A05AD2" w:rsidRDefault="00A05AD2" w:rsidP="00D00997">
            <w:pPr>
              <w:jc w:val="center"/>
              <w:rPr>
                <w:sz w:val="26"/>
                <w:szCs w:val="26"/>
              </w:rPr>
            </w:pPr>
            <w:r>
              <w:rPr>
                <w:sz w:val="26"/>
                <w:szCs w:val="26"/>
              </w:rPr>
              <w:t>www.dso.uncc.edu</w:t>
            </w:r>
          </w:p>
        </w:tc>
      </w:tr>
      <w:tr w:rsidR="00146326" w:rsidTr="00146326">
        <w:tc>
          <w:tcPr>
            <w:tcW w:w="5395" w:type="dxa"/>
          </w:tcPr>
          <w:p w:rsidR="00146326" w:rsidRDefault="00146326" w:rsidP="00146326">
            <w:pPr>
              <w:jc w:val="center"/>
              <w:rPr>
                <w:b/>
                <w:sz w:val="26"/>
                <w:szCs w:val="26"/>
              </w:rPr>
            </w:pPr>
            <w:r>
              <w:rPr>
                <w:b/>
                <w:sz w:val="26"/>
                <w:szCs w:val="26"/>
              </w:rPr>
              <w:t xml:space="preserve">National Immigration Law Center </w:t>
            </w:r>
          </w:p>
          <w:p w:rsidR="00146326" w:rsidRDefault="00146326" w:rsidP="00146326">
            <w:pPr>
              <w:jc w:val="center"/>
              <w:rPr>
                <w:b/>
                <w:sz w:val="26"/>
                <w:szCs w:val="26"/>
              </w:rPr>
            </w:pPr>
            <w:r w:rsidRPr="00A23E56">
              <w:rPr>
                <w:sz w:val="26"/>
                <w:szCs w:val="26"/>
              </w:rPr>
              <w:t>www.nilc.org/mental-health-and-civil-rights-resources/</w:t>
            </w:r>
          </w:p>
        </w:tc>
        <w:tc>
          <w:tcPr>
            <w:tcW w:w="5395" w:type="dxa"/>
          </w:tcPr>
          <w:p w:rsidR="00146326" w:rsidRDefault="00A05AD2" w:rsidP="00D00997">
            <w:pPr>
              <w:jc w:val="center"/>
              <w:rPr>
                <w:b/>
                <w:sz w:val="26"/>
                <w:szCs w:val="26"/>
              </w:rPr>
            </w:pPr>
            <w:r>
              <w:rPr>
                <w:b/>
                <w:sz w:val="26"/>
                <w:szCs w:val="26"/>
              </w:rPr>
              <w:t xml:space="preserve">UNC Charlotte </w:t>
            </w:r>
            <w:bookmarkStart w:id="0" w:name="_GoBack"/>
            <w:bookmarkEnd w:id="0"/>
            <w:r w:rsidR="00D00997">
              <w:rPr>
                <w:b/>
                <w:sz w:val="26"/>
                <w:szCs w:val="26"/>
              </w:rPr>
              <w:t>Multicultural Resource Center</w:t>
            </w:r>
          </w:p>
          <w:p w:rsidR="00D00997" w:rsidRDefault="00D00997" w:rsidP="00D00997">
            <w:pPr>
              <w:jc w:val="center"/>
              <w:rPr>
                <w:sz w:val="26"/>
                <w:szCs w:val="26"/>
              </w:rPr>
            </w:pPr>
            <w:r>
              <w:rPr>
                <w:sz w:val="26"/>
                <w:szCs w:val="26"/>
              </w:rPr>
              <w:t>704-687-7121</w:t>
            </w:r>
          </w:p>
          <w:p w:rsidR="00D00997" w:rsidRPr="00D00997" w:rsidRDefault="00D00997" w:rsidP="00D00997">
            <w:pPr>
              <w:jc w:val="center"/>
              <w:rPr>
                <w:sz w:val="26"/>
                <w:szCs w:val="26"/>
              </w:rPr>
            </w:pPr>
            <w:r>
              <w:rPr>
                <w:sz w:val="26"/>
                <w:szCs w:val="26"/>
              </w:rPr>
              <w:t>mrc.uncc.edu</w:t>
            </w:r>
          </w:p>
        </w:tc>
      </w:tr>
      <w:tr w:rsidR="00146326" w:rsidTr="00146326">
        <w:tc>
          <w:tcPr>
            <w:tcW w:w="5395" w:type="dxa"/>
          </w:tcPr>
          <w:p w:rsidR="00146326" w:rsidRDefault="00146326" w:rsidP="00146326">
            <w:pPr>
              <w:jc w:val="center"/>
              <w:rPr>
                <w:b/>
                <w:sz w:val="26"/>
                <w:szCs w:val="26"/>
              </w:rPr>
            </w:pPr>
            <w:proofErr w:type="spellStart"/>
            <w:r>
              <w:rPr>
                <w:b/>
                <w:sz w:val="26"/>
                <w:szCs w:val="26"/>
              </w:rPr>
              <w:t>UndocuHealth</w:t>
            </w:r>
            <w:proofErr w:type="spellEnd"/>
            <w:r>
              <w:rPr>
                <w:b/>
                <w:sz w:val="26"/>
                <w:szCs w:val="26"/>
              </w:rPr>
              <w:t xml:space="preserve"> Project Mental Health </w:t>
            </w:r>
          </w:p>
          <w:p w:rsidR="00146326" w:rsidRDefault="00146326" w:rsidP="00146326">
            <w:pPr>
              <w:jc w:val="center"/>
              <w:rPr>
                <w:b/>
                <w:sz w:val="26"/>
                <w:szCs w:val="26"/>
              </w:rPr>
            </w:pPr>
            <w:r>
              <w:rPr>
                <w:sz w:val="26"/>
                <w:szCs w:val="26"/>
              </w:rPr>
              <w:t>www.defenddaca.com/resources/mental-health-resources/</w:t>
            </w:r>
          </w:p>
        </w:tc>
        <w:tc>
          <w:tcPr>
            <w:tcW w:w="5395" w:type="dxa"/>
          </w:tcPr>
          <w:p w:rsidR="00146326" w:rsidRDefault="00D00997" w:rsidP="00D00997">
            <w:pPr>
              <w:jc w:val="center"/>
              <w:rPr>
                <w:b/>
                <w:sz w:val="26"/>
                <w:szCs w:val="26"/>
              </w:rPr>
            </w:pPr>
            <w:r>
              <w:rPr>
                <w:b/>
                <w:sz w:val="26"/>
                <w:szCs w:val="26"/>
              </w:rPr>
              <w:t>Charlotte Center for Legal Advocacy</w:t>
            </w:r>
          </w:p>
          <w:p w:rsidR="00D00997" w:rsidRDefault="00D00997" w:rsidP="00D00997">
            <w:pPr>
              <w:jc w:val="center"/>
              <w:rPr>
                <w:sz w:val="26"/>
                <w:szCs w:val="26"/>
              </w:rPr>
            </w:pPr>
            <w:r>
              <w:rPr>
                <w:sz w:val="26"/>
                <w:szCs w:val="26"/>
              </w:rPr>
              <w:t>704-376-1600 (English)   800-247-1931 (Spanish)</w:t>
            </w:r>
          </w:p>
          <w:p w:rsidR="00D00997" w:rsidRPr="00D00997" w:rsidRDefault="00D00997" w:rsidP="00D00997">
            <w:pPr>
              <w:jc w:val="center"/>
              <w:rPr>
                <w:sz w:val="26"/>
                <w:szCs w:val="26"/>
              </w:rPr>
            </w:pPr>
            <w:r>
              <w:rPr>
                <w:sz w:val="26"/>
                <w:szCs w:val="26"/>
              </w:rPr>
              <w:t>www.lssp.org</w:t>
            </w:r>
          </w:p>
        </w:tc>
      </w:tr>
      <w:tr w:rsidR="00146326" w:rsidTr="00146326">
        <w:tc>
          <w:tcPr>
            <w:tcW w:w="5395" w:type="dxa"/>
          </w:tcPr>
          <w:p w:rsidR="00146326" w:rsidRDefault="00146326" w:rsidP="00146326">
            <w:pPr>
              <w:jc w:val="center"/>
              <w:rPr>
                <w:b/>
                <w:sz w:val="26"/>
                <w:szCs w:val="26"/>
              </w:rPr>
            </w:pPr>
            <w:proofErr w:type="spellStart"/>
            <w:r>
              <w:rPr>
                <w:b/>
                <w:sz w:val="26"/>
                <w:szCs w:val="26"/>
              </w:rPr>
              <w:t>UndocuBlack</w:t>
            </w:r>
            <w:proofErr w:type="spellEnd"/>
            <w:r>
              <w:rPr>
                <w:b/>
                <w:sz w:val="26"/>
                <w:szCs w:val="26"/>
              </w:rPr>
              <w:t xml:space="preserve"> Network Mental Wellness</w:t>
            </w:r>
          </w:p>
          <w:p w:rsidR="00146326" w:rsidRDefault="00146326" w:rsidP="00146326">
            <w:pPr>
              <w:jc w:val="center"/>
              <w:rPr>
                <w:b/>
                <w:sz w:val="26"/>
                <w:szCs w:val="26"/>
              </w:rPr>
            </w:pPr>
            <w:r>
              <w:rPr>
                <w:sz w:val="26"/>
                <w:szCs w:val="26"/>
              </w:rPr>
              <w:t>www.undocublack.org/undocublack-blog/</w:t>
            </w:r>
          </w:p>
        </w:tc>
        <w:tc>
          <w:tcPr>
            <w:tcW w:w="5395" w:type="dxa"/>
          </w:tcPr>
          <w:p w:rsidR="00146326" w:rsidRDefault="00D00997" w:rsidP="00D00997">
            <w:pPr>
              <w:jc w:val="center"/>
              <w:rPr>
                <w:b/>
                <w:sz w:val="26"/>
                <w:szCs w:val="26"/>
              </w:rPr>
            </w:pPr>
            <w:r>
              <w:rPr>
                <w:b/>
                <w:sz w:val="26"/>
                <w:szCs w:val="26"/>
              </w:rPr>
              <w:t>Latin American Coalition</w:t>
            </w:r>
          </w:p>
          <w:p w:rsidR="00D00997" w:rsidRPr="00D00997" w:rsidRDefault="00D00997" w:rsidP="00D00997">
            <w:pPr>
              <w:jc w:val="center"/>
              <w:rPr>
                <w:sz w:val="26"/>
                <w:szCs w:val="26"/>
              </w:rPr>
            </w:pPr>
            <w:r w:rsidRPr="00D00997">
              <w:rPr>
                <w:sz w:val="26"/>
                <w:szCs w:val="26"/>
              </w:rPr>
              <w:t xml:space="preserve">704-531-3848   </w:t>
            </w:r>
            <w:r>
              <w:rPr>
                <w:sz w:val="26"/>
                <w:szCs w:val="26"/>
              </w:rPr>
              <w:t xml:space="preserve">  </w:t>
            </w:r>
            <w:r w:rsidRPr="00D00997">
              <w:rPr>
                <w:sz w:val="26"/>
                <w:szCs w:val="26"/>
              </w:rPr>
              <w:t>www.latinamericancoalition.org</w:t>
            </w:r>
          </w:p>
        </w:tc>
      </w:tr>
      <w:tr w:rsidR="00A05AD2" w:rsidTr="00146326">
        <w:tc>
          <w:tcPr>
            <w:tcW w:w="5395" w:type="dxa"/>
          </w:tcPr>
          <w:p w:rsidR="00A05AD2" w:rsidRDefault="00A05AD2" w:rsidP="00146326">
            <w:pPr>
              <w:jc w:val="center"/>
              <w:rPr>
                <w:b/>
                <w:sz w:val="26"/>
                <w:szCs w:val="26"/>
              </w:rPr>
            </w:pPr>
            <w:r>
              <w:rPr>
                <w:b/>
                <w:sz w:val="26"/>
                <w:szCs w:val="26"/>
              </w:rPr>
              <w:t xml:space="preserve">Queer Undocumented Immigrant Project </w:t>
            </w:r>
          </w:p>
          <w:p w:rsidR="00A05AD2" w:rsidRPr="007B0E37" w:rsidRDefault="00A05AD2" w:rsidP="00146326">
            <w:pPr>
              <w:jc w:val="center"/>
              <w:rPr>
                <w:sz w:val="26"/>
                <w:szCs w:val="26"/>
              </w:rPr>
            </w:pPr>
            <w:r>
              <w:rPr>
                <w:sz w:val="26"/>
                <w:szCs w:val="26"/>
              </w:rPr>
              <w:t>www.unitedwedream.org/about/projects/quip/</w:t>
            </w:r>
          </w:p>
        </w:tc>
        <w:tc>
          <w:tcPr>
            <w:tcW w:w="5395" w:type="dxa"/>
          </w:tcPr>
          <w:p w:rsidR="00A05AD2" w:rsidRPr="00D00997" w:rsidRDefault="00A05AD2" w:rsidP="00675F31">
            <w:pPr>
              <w:jc w:val="center"/>
              <w:rPr>
                <w:sz w:val="26"/>
                <w:szCs w:val="26"/>
              </w:rPr>
            </w:pPr>
          </w:p>
        </w:tc>
      </w:tr>
    </w:tbl>
    <w:p w:rsidR="00F41216" w:rsidRPr="00F41216" w:rsidRDefault="00F41216" w:rsidP="00EC0C92">
      <w:pPr>
        <w:jc w:val="center"/>
        <w:rPr>
          <w:b/>
          <w:sz w:val="16"/>
          <w:szCs w:val="16"/>
        </w:rPr>
      </w:pPr>
    </w:p>
    <w:p w:rsidR="00EC0C92" w:rsidRPr="00EC0C92" w:rsidRDefault="00CA6371" w:rsidP="00EC0C92">
      <w:pPr>
        <w:jc w:val="center"/>
        <w:rPr>
          <w:b/>
          <w:sz w:val="26"/>
          <w:szCs w:val="26"/>
        </w:rPr>
      </w:pPr>
      <w:r>
        <w:rPr>
          <w:b/>
          <w:sz w:val="26"/>
          <w:szCs w:val="26"/>
        </w:rPr>
        <w:lastRenderedPageBreak/>
        <w:t>How can I foster resilience and cope with my distress</w:t>
      </w:r>
      <w:r w:rsidR="00EC0C92" w:rsidRPr="00EC0C92">
        <w:rPr>
          <w:b/>
          <w:sz w:val="26"/>
          <w:szCs w:val="26"/>
        </w:rPr>
        <w:t>?</w:t>
      </w:r>
    </w:p>
    <w:tbl>
      <w:tblPr>
        <w:tblStyle w:val="TableGrid"/>
        <w:tblW w:w="0" w:type="auto"/>
        <w:tblInd w:w="295" w:type="dxa"/>
        <w:tblLook w:val="04A0" w:firstRow="1" w:lastRow="0" w:firstColumn="1" w:lastColumn="0" w:noHBand="0" w:noVBand="1"/>
      </w:tblPr>
      <w:tblGrid>
        <w:gridCol w:w="10205"/>
      </w:tblGrid>
      <w:tr w:rsidR="00BE33B6" w:rsidTr="002F1210">
        <w:trPr>
          <w:trHeight w:val="1261"/>
        </w:trPr>
        <w:tc>
          <w:tcPr>
            <w:tcW w:w="10205" w:type="dxa"/>
          </w:tcPr>
          <w:p w:rsidR="00EC0C92" w:rsidRDefault="00EC0C92" w:rsidP="00BE33B6">
            <w:pPr>
              <w:jc w:val="center"/>
              <w:rPr>
                <w:b/>
              </w:rPr>
            </w:pPr>
          </w:p>
          <w:p w:rsidR="00EC0C92" w:rsidRPr="003B3131" w:rsidRDefault="00EC0C92" w:rsidP="00EC0C92">
            <w:pPr>
              <w:pStyle w:val="ListParagraph"/>
              <w:numPr>
                <w:ilvl w:val="0"/>
                <w:numId w:val="3"/>
              </w:numPr>
              <w:rPr>
                <w:b/>
              </w:rPr>
            </w:pPr>
            <w:r w:rsidRPr="00EC0C92">
              <w:rPr>
                <w:b/>
                <w:u w:val="single"/>
              </w:rPr>
              <w:t>Pay attention to the signals of distress</w:t>
            </w:r>
            <w:r>
              <w:rPr>
                <w:b/>
              </w:rPr>
              <w:t xml:space="preserve"> </w:t>
            </w:r>
            <w:r w:rsidRPr="00EC0C92">
              <w:t>– Think of these symptoms as the early warning signs that tell you to stop and take a moment to consider how to handle whatever is going on.  By attending to these early signs you may be able to prevent yourself from feeling much worse later.</w:t>
            </w:r>
          </w:p>
          <w:p w:rsidR="003B3131" w:rsidRPr="00EC0C92" w:rsidRDefault="003B3131" w:rsidP="003B3131">
            <w:pPr>
              <w:pStyle w:val="ListParagraph"/>
              <w:rPr>
                <w:b/>
              </w:rPr>
            </w:pPr>
          </w:p>
        </w:tc>
      </w:tr>
      <w:tr w:rsidR="00EC0C92" w:rsidTr="002F1210">
        <w:trPr>
          <w:trHeight w:val="1114"/>
        </w:trPr>
        <w:tc>
          <w:tcPr>
            <w:tcW w:w="10205" w:type="dxa"/>
          </w:tcPr>
          <w:p w:rsidR="00EC0C92" w:rsidRDefault="00EC0C92" w:rsidP="001118A1">
            <w:pPr>
              <w:pStyle w:val="ListParagraph"/>
              <w:numPr>
                <w:ilvl w:val="0"/>
                <w:numId w:val="3"/>
              </w:numPr>
            </w:pPr>
            <w:r w:rsidRPr="001118A1">
              <w:rPr>
                <w:b/>
                <w:u w:val="single"/>
              </w:rPr>
              <w:t>Practice good self-care</w:t>
            </w:r>
            <w:r w:rsidR="00596FF7">
              <w:t xml:space="preserve"> </w:t>
            </w:r>
            <w:r w:rsidR="001118A1">
              <w:t>–</w:t>
            </w:r>
            <w:r w:rsidR="00596FF7">
              <w:t xml:space="preserve"> </w:t>
            </w:r>
            <w:r w:rsidR="001118A1">
              <w:t>Taking care of your mind and body will help reduce stress and build resilience.  Exercising, eating a balanced diet, and getting plenty of rest are essential, though at times we recognize it can be a challenge.</w:t>
            </w:r>
          </w:p>
          <w:p w:rsidR="003B3131" w:rsidRDefault="003B3131" w:rsidP="003B3131">
            <w:pPr>
              <w:pStyle w:val="ListParagraph"/>
            </w:pPr>
          </w:p>
        </w:tc>
      </w:tr>
      <w:tr w:rsidR="00EC0C92" w:rsidTr="002F1210">
        <w:trPr>
          <w:trHeight w:val="1114"/>
        </w:trPr>
        <w:tc>
          <w:tcPr>
            <w:tcW w:w="10205" w:type="dxa"/>
          </w:tcPr>
          <w:p w:rsidR="00EC0C92" w:rsidRDefault="001118A1" w:rsidP="001118A1">
            <w:pPr>
              <w:pStyle w:val="ListParagraph"/>
              <w:numPr>
                <w:ilvl w:val="0"/>
                <w:numId w:val="3"/>
              </w:numPr>
            </w:pPr>
            <w:r w:rsidRPr="001118A1">
              <w:rPr>
                <w:b/>
                <w:u w:val="single"/>
              </w:rPr>
              <w:t>Join circles of support</w:t>
            </w:r>
            <w:r>
              <w:t xml:space="preserve"> – Finding support from others who experience similar concerns helps students to feel understood, cared for, and a sense of greater safety.  Sharing your thoughts and feelings about your experience can provide an important opportunity to redefine your narrative and feel more empowered.</w:t>
            </w:r>
          </w:p>
          <w:p w:rsidR="003B3131" w:rsidRDefault="003B3131" w:rsidP="003B3131">
            <w:pPr>
              <w:pStyle w:val="ListParagraph"/>
            </w:pPr>
          </w:p>
        </w:tc>
      </w:tr>
      <w:tr w:rsidR="00EC0C92" w:rsidTr="002F1210">
        <w:trPr>
          <w:trHeight w:val="1114"/>
        </w:trPr>
        <w:tc>
          <w:tcPr>
            <w:tcW w:w="10205" w:type="dxa"/>
          </w:tcPr>
          <w:p w:rsidR="00EC0C92" w:rsidRDefault="001118A1" w:rsidP="001118A1">
            <w:pPr>
              <w:pStyle w:val="ListParagraph"/>
              <w:numPr>
                <w:ilvl w:val="0"/>
                <w:numId w:val="3"/>
              </w:numPr>
            </w:pPr>
            <w:r w:rsidRPr="001118A1">
              <w:rPr>
                <w:b/>
                <w:u w:val="single"/>
              </w:rPr>
              <w:t>Find ways to get back to your routine of being a student</w:t>
            </w:r>
            <w:r>
              <w:t xml:space="preserve"> – Your routine can create purpose and structure in your day and can feel stabilizing in an unstable time.  Be aware though that it will be beneficial to be patient with yourself as you might find that you are not able to attend to as many things or attend to them as quickly.</w:t>
            </w:r>
          </w:p>
          <w:p w:rsidR="003B3131" w:rsidRDefault="003B3131" w:rsidP="003B3131">
            <w:pPr>
              <w:pStyle w:val="ListParagraph"/>
            </w:pPr>
          </w:p>
        </w:tc>
      </w:tr>
      <w:tr w:rsidR="00CA6371" w:rsidTr="002F1210">
        <w:trPr>
          <w:trHeight w:val="835"/>
        </w:trPr>
        <w:tc>
          <w:tcPr>
            <w:tcW w:w="10205" w:type="dxa"/>
          </w:tcPr>
          <w:p w:rsidR="00CA6371" w:rsidRPr="00CA6371" w:rsidRDefault="00CA6371" w:rsidP="001118A1">
            <w:pPr>
              <w:pStyle w:val="ListParagraph"/>
              <w:numPr>
                <w:ilvl w:val="0"/>
                <w:numId w:val="3"/>
              </w:numPr>
              <w:rPr>
                <w:b/>
                <w:u w:val="single"/>
              </w:rPr>
            </w:pPr>
            <w:r>
              <w:rPr>
                <w:b/>
                <w:u w:val="single"/>
              </w:rPr>
              <w:t>Hold onto tradition</w:t>
            </w:r>
            <w:r w:rsidR="00563478">
              <w:rPr>
                <w:b/>
                <w:u w:val="single"/>
              </w:rPr>
              <w:t xml:space="preserve"> and your culture’s history of resilience</w:t>
            </w:r>
            <w:r>
              <w:t xml:space="preserve"> – Hold onto your roots and history by keeping at least one tradition alive.  Tell old stories </w:t>
            </w:r>
            <w:r w:rsidR="002F1210">
              <w:t xml:space="preserve">that bring comfort </w:t>
            </w:r>
            <w:r>
              <w:t>again and again.  Cook a family recipe.</w:t>
            </w:r>
          </w:p>
          <w:p w:rsidR="00CA6371" w:rsidRPr="001118A1" w:rsidRDefault="00CA6371" w:rsidP="00CA6371">
            <w:pPr>
              <w:pStyle w:val="ListParagraph"/>
              <w:rPr>
                <w:b/>
                <w:u w:val="single"/>
              </w:rPr>
            </w:pPr>
          </w:p>
        </w:tc>
      </w:tr>
      <w:tr w:rsidR="00C81FEF" w:rsidTr="002F1210">
        <w:trPr>
          <w:trHeight w:val="1114"/>
        </w:trPr>
        <w:tc>
          <w:tcPr>
            <w:tcW w:w="10205" w:type="dxa"/>
          </w:tcPr>
          <w:p w:rsidR="00C81FEF" w:rsidRDefault="00C81FEF" w:rsidP="00C81FEF">
            <w:pPr>
              <w:pStyle w:val="ListParagraph"/>
              <w:numPr>
                <w:ilvl w:val="0"/>
                <w:numId w:val="3"/>
              </w:numPr>
            </w:pPr>
            <w:r w:rsidRPr="00C81FEF">
              <w:rPr>
                <w:b/>
                <w:u w:val="single"/>
              </w:rPr>
              <w:t>Find sources of hope</w:t>
            </w:r>
            <w:r w:rsidR="00CA6371">
              <w:rPr>
                <w:b/>
                <w:u w:val="single"/>
              </w:rPr>
              <w:t xml:space="preserve"> and practice gratitude</w:t>
            </w:r>
            <w:r>
              <w:t xml:space="preserve"> – look to what inspires you – music, books, </w:t>
            </w:r>
            <w:proofErr w:type="gramStart"/>
            <w:r>
              <w:t>people</w:t>
            </w:r>
            <w:proofErr w:type="gramEnd"/>
            <w:r>
              <w:t xml:space="preserve"> – to help you find strength and bring you some sense of peace each day.</w:t>
            </w:r>
            <w:r w:rsidR="00CA6371">
              <w:t xml:space="preserve">  Look around you each day.  Take note and appreciate the positive things and people in your life.</w:t>
            </w:r>
          </w:p>
          <w:p w:rsidR="003B3131" w:rsidRDefault="003B3131" w:rsidP="003B3131">
            <w:pPr>
              <w:pStyle w:val="ListParagraph"/>
            </w:pPr>
          </w:p>
        </w:tc>
      </w:tr>
      <w:tr w:rsidR="00C81FEF" w:rsidTr="002F1210">
        <w:trPr>
          <w:trHeight w:val="1114"/>
        </w:trPr>
        <w:tc>
          <w:tcPr>
            <w:tcW w:w="10205" w:type="dxa"/>
          </w:tcPr>
          <w:p w:rsidR="00C81FEF" w:rsidRDefault="00C81FEF" w:rsidP="00C81FEF">
            <w:pPr>
              <w:pStyle w:val="ListParagraph"/>
              <w:numPr>
                <w:ilvl w:val="0"/>
                <w:numId w:val="3"/>
              </w:numPr>
            </w:pPr>
            <w:r w:rsidRPr="00C81FEF">
              <w:rPr>
                <w:b/>
                <w:u w:val="single"/>
              </w:rPr>
              <w:t>Tap into your faith / spirituality if this is important to you</w:t>
            </w:r>
            <w:r>
              <w:t xml:space="preserve"> – Engaging in prayer and connecting to your spiritual beliefs can provide you a sense of higher purpose and help to solidify your resolve in these trying times.</w:t>
            </w:r>
          </w:p>
          <w:p w:rsidR="003B3131" w:rsidRDefault="003B3131" w:rsidP="003B3131">
            <w:pPr>
              <w:pStyle w:val="ListParagraph"/>
            </w:pPr>
          </w:p>
        </w:tc>
      </w:tr>
      <w:tr w:rsidR="00C81FEF" w:rsidTr="002F1210">
        <w:trPr>
          <w:trHeight w:val="1392"/>
        </w:trPr>
        <w:tc>
          <w:tcPr>
            <w:tcW w:w="10205" w:type="dxa"/>
          </w:tcPr>
          <w:p w:rsidR="00C81FEF" w:rsidRDefault="00C81FEF" w:rsidP="00C81FEF">
            <w:pPr>
              <w:pStyle w:val="ListParagraph"/>
              <w:numPr>
                <w:ilvl w:val="0"/>
                <w:numId w:val="3"/>
              </w:numPr>
            </w:pPr>
            <w:r w:rsidRPr="00C81FEF">
              <w:rPr>
                <w:b/>
                <w:u w:val="single"/>
              </w:rPr>
              <w:t>Turn your energy into activism if you feel that you can</w:t>
            </w:r>
            <w:r>
              <w:t xml:space="preserve"> – For some students, getting involved in social justice organizations and other advocacy efforts helps them to feel more control and efficacy.  Make sure to take time to step away from this when you need to, as it can also feel overwhelming to be immersed in this work</w:t>
            </w:r>
            <w:r w:rsidR="003B3131">
              <w:t xml:space="preserve"> and it can sometimes feel unsafe.  Take a break and come back.</w:t>
            </w:r>
          </w:p>
          <w:p w:rsidR="003B3131" w:rsidRDefault="003B3131" w:rsidP="003B3131">
            <w:pPr>
              <w:pStyle w:val="ListParagraph"/>
            </w:pPr>
          </w:p>
        </w:tc>
      </w:tr>
      <w:tr w:rsidR="004C169D" w:rsidTr="002F1210">
        <w:trPr>
          <w:trHeight w:val="1114"/>
        </w:trPr>
        <w:tc>
          <w:tcPr>
            <w:tcW w:w="10205" w:type="dxa"/>
          </w:tcPr>
          <w:p w:rsidR="002C1224" w:rsidRDefault="00D00997" w:rsidP="002C1224">
            <w:pPr>
              <w:pStyle w:val="ListParagraph"/>
              <w:numPr>
                <w:ilvl w:val="0"/>
                <w:numId w:val="3"/>
              </w:numPr>
            </w:pPr>
            <w:r w:rsidRPr="002C1224">
              <w:rPr>
                <w:b/>
                <w:u w:val="single"/>
              </w:rPr>
              <w:t>Know your rights and resources</w:t>
            </w:r>
            <w:r>
              <w:t xml:space="preserve"> – Staying informed can help you</w:t>
            </w:r>
            <w:r w:rsidR="002C1224">
              <w:t xml:space="preserve"> keep yourself safe and provide a sense of “being in the know” in an uncertain time.  We recommend looking at the following:</w:t>
            </w:r>
          </w:p>
          <w:p w:rsidR="004C169D" w:rsidRDefault="00252296" w:rsidP="00252296">
            <w:pPr>
              <w:pStyle w:val="ListParagraph"/>
              <w:jc w:val="both"/>
            </w:pPr>
            <w:r>
              <w:t xml:space="preserve">       </w:t>
            </w:r>
            <w:r w:rsidR="00AE3E41" w:rsidRPr="00AE3E41">
              <w:t>www.aclu.org/know-your-rights/know-your-rights-about-daca</w:t>
            </w:r>
            <w:r>
              <w:t xml:space="preserve">              </w:t>
            </w:r>
            <w:r w:rsidR="004C169D" w:rsidRPr="004C169D">
              <w:t>www.nilc.org/issues/daca/</w:t>
            </w:r>
          </w:p>
          <w:p w:rsidR="004C169D" w:rsidRPr="004C169D" w:rsidRDefault="004C169D" w:rsidP="004C169D">
            <w:pPr>
              <w:jc w:val="center"/>
            </w:pPr>
          </w:p>
        </w:tc>
      </w:tr>
      <w:tr w:rsidR="004C169D" w:rsidTr="002F1210">
        <w:trPr>
          <w:trHeight w:val="1129"/>
        </w:trPr>
        <w:tc>
          <w:tcPr>
            <w:tcW w:w="10205" w:type="dxa"/>
          </w:tcPr>
          <w:p w:rsidR="004C169D" w:rsidRPr="00CA6371" w:rsidRDefault="00CA6371" w:rsidP="00CA6371">
            <w:pPr>
              <w:pStyle w:val="ListParagraph"/>
              <w:numPr>
                <w:ilvl w:val="0"/>
                <w:numId w:val="3"/>
              </w:numPr>
              <w:rPr>
                <w:b/>
                <w:u w:val="single"/>
              </w:rPr>
            </w:pPr>
            <w:r>
              <w:rPr>
                <w:b/>
                <w:u w:val="single"/>
              </w:rPr>
              <w:t>Establish an emotional ritu</w:t>
            </w:r>
            <w:r w:rsidRPr="00CA6371">
              <w:rPr>
                <w:b/>
                <w:u w:val="single"/>
              </w:rPr>
              <w:t>al</w:t>
            </w:r>
            <w:r>
              <w:rPr>
                <w:b/>
              </w:rPr>
              <w:t xml:space="preserve"> - </w:t>
            </w:r>
            <w:r w:rsidR="004C169D">
              <w:t>Create a daily ritual for safety that has personal meaning to you and brings about comfort.  It could be playing special music, lighting a candle, wearing your comfiest pajamas or making yourself a cup of tea.</w:t>
            </w:r>
          </w:p>
          <w:p w:rsidR="004C169D" w:rsidRPr="004C169D" w:rsidRDefault="004C169D" w:rsidP="004C169D">
            <w:pPr>
              <w:jc w:val="center"/>
            </w:pPr>
          </w:p>
        </w:tc>
      </w:tr>
      <w:tr w:rsidR="004C169D" w:rsidTr="002F1210">
        <w:trPr>
          <w:trHeight w:val="1098"/>
        </w:trPr>
        <w:tc>
          <w:tcPr>
            <w:tcW w:w="10205" w:type="dxa"/>
          </w:tcPr>
          <w:p w:rsidR="00403774" w:rsidRPr="00563478" w:rsidRDefault="00CA6371" w:rsidP="00563478">
            <w:pPr>
              <w:pStyle w:val="ListParagraph"/>
              <w:numPr>
                <w:ilvl w:val="0"/>
                <w:numId w:val="3"/>
              </w:numPr>
              <w:rPr>
                <w:u w:val="single"/>
              </w:rPr>
            </w:pPr>
            <w:r w:rsidRPr="00CA6371">
              <w:rPr>
                <w:b/>
                <w:u w:val="single"/>
              </w:rPr>
              <w:t xml:space="preserve">Figure out things you can control and find ways to work toward letting other things </w:t>
            </w:r>
            <w:r w:rsidRPr="00CA6371">
              <w:t>go</w:t>
            </w:r>
            <w:r>
              <w:t xml:space="preserve"> </w:t>
            </w:r>
            <w:proofErr w:type="gramStart"/>
            <w:r>
              <w:t xml:space="preserve">-  </w:t>
            </w:r>
            <w:r w:rsidR="004C169D" w:rsidRPr="00CA6371">
              <w:t>Staying</w:t>
            </w:r>
            <w:proofErr w:type="gramEnd"/>
            <w:r w:rsidR="004C169D">
              <w:t xml:space="preserve"> immersed in worry only serves to compromise your health and make you less resilient to challenges that come your way.  Being active and working toward your goals</w:t>
            </w:r>
            <w:r w:rsidR="00DF378C">
              <w:t xml:space="preserve"> and other things you control</w:t>
            </w:r>
            <w:r w:rsidR="004C169D">
              <w:t xml:space="preserve"> can give yo</w:t>
            </w:r>
            <w:r w:rsidR="00563478">
              <w:t>u hope.</w:t>
            </w:r>
          </w:p>
        </w:tc>
      </w:tr>
    </w:tbl>
    <w:p w:rsidR="004C169D" w:rsidRPr="004C169D" w:rsidRDefault="004C169D" w:rsidP="00F41216">
      <w:pPr>
        <w:rPr>
          <w:b/>
        </w:rPr>
      </w:pPr>
    </w:p>
    <w:sectPr w:rsidR="004C169D" w:rsidRPr="004C169D" w:rsidSect="00BE3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1C62"/>
    <w:multiLevelType w:val="hybridMultilevel"/>
    <w:tmpl w:val="2222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76409"/>
    <w:multiLevelType w:val="hybridMultilevel"/>
    <w:tmpl w:val="0E36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21799"/>
    <w:multiLevelType w:val="hybridMultilevel"/>
    <w:tmpl w:val="E870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65592"/>
    <w:multiLevelType w:val="hybridMultilevel"/>
    <w:tmpl w:val="38CC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53F6B"/>
    <w:multiLevelType w:val="hybridMultilevel"/>
    <w:tmpl w:val="464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B6"/>
    <w:rsid w:val="000F5834"/>
    <w:rsid w:val="001118A1"/>
    <w:rsid w:val="0012503F"/>
    <w:rsid w:val="00146326"/>
    <w:rsid w:val="001D2C9A"/>
    <w:rsid w:val="001F768D"/>
    <w:rsid w:val="0021677F"/>
    <w:rsid w:val="00221407"/>
    <w:rsid w:val="00252296"/>
    <w:rsid w:val="002C1224"/>
    <w:rsid w:val="002D6D10"/>
    <w:rsid w:val="002F1210"/>
    <w:rsid w:val="0035311D"/>
    <w:rsid w:val="003B3131"/>
    <w:rsid w:val="00403774"/>
    <w:rsid w:val="004C169D"/>
    <w:rsid w:val="00502265"/>
    <w:rsid w:val="00507959"/>
    <w:rsid w:val="00563478"/>
    <w:rsid w:val="00596FF7"/>
    <w:rsid w:val="005E61BD"/>
    <w:rsid w:val="007B0E37"/>
    <w:rsid w:val="007C5A37"/>
    <w:rsid w:val="00A05AD2"/>
    <w:rsid w:val="00A23E56"/>
    <w:rsid w:val="00AC3424"/>
    <w:rsid w:val="00AE3E41"/>
    <w:rsid w:val="00B43ABF"/>
    <w:rsid w:val="00BE33B6"/>
    <w:rsid w:val="00C81FEF"/>
    <w:rsid w:val="00CA6371"/>
    <w:rsid w:val="00D00997"/>
    <w:rsid w:val="00DF378C"/>
    <w:rsid w:val="00EC0C92"/>
    <w:rsid w:val="00F41216"/>
    <w:rsid w:val="00F5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33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3B6"/>
    <w:rPr>
      <w:rFonts w:ascii="Times New Roman" w:eastAsia="Times New Roman" w:hAnsi="Times New Roman" w:cs="Times New Roman"/>
      <w:b/>
      <w:bCs/>
      <w:sz w:val="36"/>
      <w:szCs w:val="36"/>
    </w:rPr>
  </w:style>
  <w:style w:type="character" w:styleId="Strong">
    <w:name w:val="Strong"/>
    <w:basedOn w:val="DefaultParagraphFont"/>
    <w:uiPriority w:val="22"/>
    <w:qFormat/>
    <w:rsid w:val="00BE33B6"/>
    <w:rPr>
      <w:b/>
      <w:bCs/>
    </w:rPr>
  </w:style>
  <w:style w:type="table" w:styleId="TableGrid">
    <w:name w:val="Table Grid"/>
    <w:basedOn w:val="TableNormal"/>
    <w:uiPriority w:val="39"/>
    <w:rsid w:val="00BE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3B6"/>
    <w:pPr>
      <w:ind w:left="720"/>
      <w:contextualSpacing/>
    </w:pPr>
  </w:style>
  <w:style w:type="character" w:styleId="Hyperlink">
    <w:name w:val="Hyperlink"/>
    <w:basedOn w:val="DefaultParagraphFont"/>
    <w:uiPriority w:val="99"/>
    <w:unhideWhenUsed/>
    <w:rsid w:val="00B43ABF"/>
    <w:rPr>
      <w:color w:val="0563C1" w:themeColor="hyperlink"/>
      <w:u w:val="single"/>
    </w:rPr>
  </w:style>
  <w:style w:type="character" w:styleId="Emphasis">
    <w:name w:val="Emphasis"/>
    <w:basedOn w:val="DefaultParagraphFont"/>
    <w:uiPriority w:val="20"/>
    <w:qFormat/>
    <w:rsid w:val="005E61BD"/>
    <w:rPr>
      <w:i/>
      <w:iCs/>
    </w:rPr>
  </w:style>
  <w:style w:type="paragraph" w:styleId="BalloonText">
    <w:name w:val="Balloon Text"/>
    <w:basedOn w:val="Normal"/>
    <w:link w:val="BalloonTextChar"/>
    <w:uiPriority w:val="99"/>
    <w:semiHidden/>
    <w:unhideWhenUsed/>
    <w:rsid w:val="002F1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33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3B6"/>
    <w:rPr>
      <w:rFonts w:ascii="Times New Roman" w:eastAsia="Times New Roman" w:hAnsi="Times New Roman" w:cs="Times New Roman"/>
      <w:b/>
      <w:bCs/>
      <w:sz w:val="36"/>
      <w:szCs w:val="36"/>
    </w:rPr>
  </w:style>
  <w:style w:type="character" w:styleId="Strong">
    <w:name w:val="Strong"/>
    <w:basedOn w:val="DefaultParagraphFont"/>
    <w:uiPriority w:val="22"/>
    <w:qFormat/>
    <w:rsid w:val="00BE33B6"/>
    <w:rPr>
      <w:b/>
      <w:bCs/>
    </w:rPr>
  </w:style>
  <w:style w:type="table" w:styleId="TableGrid">
    <w:name w:val="Table Grid"/>
    <w:basedOn w:val="TableNormal"/>
    <w:uiPriority w:val="39"/>
    <w:rsid w:val="00BE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3B6"/>
    <w:pPr>
      <w:ind w:left="720"/>
      <w:contextualSpacing/>
    </w:pPr>
  </w:style>
  <w:style w:type="character" w:styleId="Hyperlink">
    <w:name w:val="Hyperlink"/>
    <w:basedOn w:val="DefaultParagraphFont"/>
    <w:uiPriority w:val="99"/>
    <w:unhideWhenUsed/>
    <w:rsid w:val="00B43ABF"/>
    <w:rPr>
      <w:color w:val="0563C1" w:themeColor="hyperlink"/>
      <w:u w:val="single"/>
    </w:rPr>
  </w:style>
  <w:style w:type="character" w:styleId="Emphasis">
    <w:name w:val="Emphasis"/>
    <w:basedOn w:val="DefaultParagraphFont"/>
    <w:uiPriority w:val="20"/>
    <w:qFormat/>
    <w:rsid w:val="005E61BD"/>
    <w:rPr>
      <w:i/>
      <w:iCs/>
    </w:rPr>
  </w:style>
  <w:style w:type="paragraph" w:styleId="BalloonText">
    <w:name w:val="Balloon Text"/>
    <w:basedOn w:val="Normal"/>
    <w:link w:val="BalloonTextChar"/>
    <w:uiPriority w:val="99"/>
    <w:semiHidden/>
    <w:unhideWhenUsed/>
    <w:rsid w:val="002F1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237">
      <w:bodyDiv w:val="1"/>
      <w:marLeft w:val="0"/>
      <w:marRight w:val="0"/>
      <w:marTop w:val="0"/>
      <w:marBottom w:val="0"/>
      <w:divBdr>
        <w:top w:val="none" w:sz="0" w:space="0" w:color="auto"/>
        <w:left w:val="none" w:sz="0" w:space="0" w:color="auto"/>
        <w:bottom w:val="none" w:sz="0" w:space="0" w:color="auto"/>
        <w:right w:val="none" w:sz="0" w:space="0" w:color="auto"/>
      </w:divBdr>
      <w:divsChild>
        <w:div w:id="104248400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 Erica</dc:creator>
  <cp:lastModifiedBy>CRD</cp:lastModifiedBy>
  <cp:revision>2</cp:revision>
  <cp:lastPrinted>2017-10-23T14:52:00Z</cp:lastPrinted>
  <dcterms:created xsi:type="dcterms:W3CDTF">2017-10-24T16:48:00Z</dcterms:created>
  <dcterms:modified xsi:type="dcterms:W3CDTF">2017-10-24T16:48:00Z</dcterms:modified>
</cp:coreProperties>
</file>